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18" w:rsidRDefault="00BA3C18" w:rsidP="00BA3C18">
      <w:pPr>
        <w:pStyle w:val="Default"/>
      </w:pPr>
      <w:bookmarkStart w:id="0" w:name="_GoBack"/>
      <w:bookmarkEnd w:id="0"/>
    </w:p>
    <w:p w:rsidR="00BA3C18" w:rsidRDefault="00BA3C18" w:rsidP="00BA3C1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Publicité : Rapport Emploi et Formation </w:t>
      </w:r>
    </w:p>
    <w:p w:rsidR="00BA3C18" w:rsidRDefault="00BA3C18" w:rsidP="00BA3C1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2009-2010 </w:t>
      </w:r>
    </w:p>
    <w:p w:rsidR="00BA3C18" w:rsidRDefault="00BA3C18" w:rsidP="00BA3C18">
      <w:pPr>
        <w:pStyle w:val="Default"/>
        <w:rPr>
          <w:b/>
          <w:bCs/>
          <w:sz w:val="32"/>
          <w:szCs w:val="32"/>
        </w:rPr>
      </w:pPr>
    </w:p>
    <w:p w:rsidR="00BA3C18" w:rsidRDefault="00BA3C18" w:rsidP="00BA3C1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Branche Publicité </w:t>
      </w:r>
    </w:p>
    <w:p w:rsidR="00BA3C18" w:rsidRDefault="00BA3C18" w:rsidP="00BA3C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 rapport emploi et formation pour les années 2009-2010 a été présenté lors de la CPNE exceptionnelle du 13 novembre dernier. </w:t>
      </w:r>
    </w:p>
    <w:p w:rsidR="00BA3C18" w:rsidRDefault="00BA3C18" w:rsidP="00BA3C18">
      <w:pPr>
        <w:pStyle w:val="Default"/>
        <w:rPr>
          <w:b/>
          <w:bCs/>
          <w:sz w:val="23"/>
          <w:szCs w:val="23"/>
        </w:rPr>
      </w:pPr>
    </w:p>
    <w:p w:rsidR="00BA3C18" w:rsidRPr="00BA3C18" w:rsidRDefault="00BA3C18" w:rsidP="00BA3C18">
      <w:pPr>
        <w:pStyle w:val="Default"/>
      </w:pPr>
      <w:r w:rsidRPr="00BA3C18">
        <w:rPr>
          <w:b/>
          <w:bCs/>
        </w:rPr>
        <w:t xml:space="preserve">L’emploi </w:t>
      </w:r>
    </w:p>
    <w:p w:rsidR="00BA3C18" w:rsidRDefault="00BA3C18" w:rsidP="00BA3C18">
      <w:pPr>
        <w:pStyle w:val="Default"/>
        <w:rPr>
          <w:b/>
          <w:bCs/>
          <w:sz w:val="20"/>
          <w:szCs w:val="20"/>
        </w:rPr>
      </w:pPr>
    </w:p>
    <w:p w:rsidR="00BA3C18" w:rsidRDefault="00BA3C18" w:rsidP="00BA3C1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Une majorité de très petites entreprises </w:t>
      </w:r>
    </w:p>
    <w:p w:rsidR="00BA3C18" w:rsidRDefault="00BA3C18" w:rsidP="00BA3C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Le secteur regroupe principalement des agences de publicité</w:t>
      </w:r>
      <w:r>
        <w:rPr>
          <w:sz w:val="20"/>
          <w:szCs w:val="20"/>
        </w:rPr>
        <w:t xml:space="preserve"> (70 % des entreprises et 56,8% des salarié(e)s) </w:t>
      </w:r>
      <w:r>
        <w:rPr>
          <w:sz w:val="20"/>
          <w:szCs w:val="20"/>
        </w:rPr>
        <w:t>suivies par les régies publicitaires (13,1% des entrepr</w:t>
      </w:r>
      <w:r>
        <w:rPr>
          <w:sz w:val="20"/>
          <w:szCs w:val="20"/>
        </w:rPr>
        <w:t>ises et 23,7% des salarié(e)s).</w:t>
      </w:r>
    </w:p>
    <w:p w:rsidR="00BA3C18" w:rsidRDefault="00BA3C18" w:rsidP="00BA3C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Plus des deux tiers de ces entreprises comptent moins de 10 salarié(e)s : 69,4% des agences et 67,5% des régies. </w:t>
      </w:r>
    </w:p>
    <w:p w:rsidR="00BA3C18" w:rsidRDefault="00BA3C18" w:rsidP="00BA3C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Sur le plan géographique, près de la moitié sont situées en Ile-de-France : 46,4% des agences et 42,8% des régies. </w:t>
      </w:r>
    </w:p>
    <w:p w:rsidR="00BA3C18" w:rsidRDefault="00BA3C18" w:rsidP="00BA3C18">
      <w:pPr>
        <w:pStyle w:val="Default"/>
        <w:rPr>
          <w:b/>
          <w:bCs/>
          <w:sz w:val="20"/>
          <w:szCs w:val="20"/>
        </w:rPr>
      </w:pPr>
    </w:p>
    <w:p w:rsidR="00BA3C18" w:rsidRDefault="00BA3C18" w:rsidP="00BA3C1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Des salarié(e)s plutôt jeunes </w:t>
      </w:r>
    </w:p>
    <w:p w:rsidR="00BA3C18" w:rsidRDefault="00BA3C18" w:rsidP="00BA3C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Les salarié(e)s sont plutôt jeunes : près de la moitié des effectifs est âgé de moins de 35 ans. Ce sont dans les agences de publicité que les salarié(e)s sont les plus jeunes, avec 52,7% de moins de 35 ans en 2010. Ils sont 41,2% dans les régies publicitaires. </w:t>
      </w:r>
    </w:p>
    <w:p w:rsidR="00BA3C18" w:rsidRDefault="00BA3C18" w:rsidP="00BA3C18">
      <w:pPr>
        <w:pStyle w:val="Default"/>
        <w:rPr>
          <w:b/>
          <w:bCs/>
          <w:sz w:val="20"/>
          <w:szCs w:val="20"/>
        </w:rPr>
      </w:pPr>
    </w:p>
    <w:p w:rsidR="00BA3C18" w:rsidRDefault="00BA3C18" w:rsidP="00BA3C1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Après 45 ans, des hommes en plus grand nombre </w:t>
      </w:r>
    </w:p>
    <w:p w:rsidR="00BA3C18" w:rsidRDefault="00BA3C18" w:rsidP="00BA3C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Les agences emploient davantage de femmes que les régies (53,4% contre 49,1%). À souligner, le nombre de femmes dépasse celui des hommes avant 45 ans, mais après cet âge, le phénomène s’inverse. Un constat qui interroge sur l’évolution professionnelle des femmes dans ce secteur. </w:t>
      </w:r>
    </w:p>
    <w:p w:rsidR="00BA3C18" w:rsidRDefault="00BA3C18" w:rsidP="00BA3C1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Autre observation : les salarié(e)s sont plus nombreux à bénéficier d’un CDI dans les régies (91,4%) que dans les agences (82,7%). Côté statut, les agences comptent davantage de cadres (42,2%) que les régies (34,1%). </w:t>
      </w:r>
    </w:p>
    <w:p w:rsidR="00BA3C18" w:rsidRDefault="00BA3C18" w:rsidP="00BA3C18">
      <w:pPr>
        <w:pStyle w:val="Default"/>
        <w:rPr>
          <w:b/>
          <w:bCs/>
          <w:color w:val="auto"/>
          <w:sz w:val="20"/>
          <w:szCs w:val="20"/>
        </w:rPr>
      </w:pPr>
    </w:p>
    <w:p w:rsidR="00BA3C18" w:rsidRDefault="00BA3C18" w:rsidP="00BA3C1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Plus d’entrées que de sorties </w:t>
      </w:r>
    </w:p>
    <w:p w:rsidR="00BA3C18" w:rsidRDefault="00BA3C18" w:rsidP="00BA3C1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En matière d’effectif, le sect</w:t>
      </w:r>
      <w:r>
        <w:rPr>
          <w:color w:val="auto"/>
          <w:sz w:val="20"/>
          <w:szCs w:val="20"/>
        </w:rPr>
        <w:t xml:space="preserve">eur présente un solde positif : 34 864 salarié(e)s </w:t>
      </w:r>
      <w:r>
        <w:rPr>
          <w:color w:val="auto"/>
          <w:sz w:val="20"/>
          <w:szCs w:val="20"/>
        </w:rPr>
        <w:t xml:space="preserve">l’ont rejoint en 2010 tandis que 27 253 l’ont quitté en 2009. Dans les agences comme dans les régies, les nouvelles recrues sont majoritairement des femmes (respectivement 54,3% et 50,8%). Globalement, ces nouveaux salarié(e)s se révèlent plus jeunes dans les agences que dans les régies (35 % de moins de 28 ans dans les agences et 30% dans les régies). </w:t>
      </w:r>
    </w:p>
    <w:p w:rsidR="00BA3C18" w:rsidRDefault="00BA3C18" w:rsidP="00BA3C18">
      <w:pPr>
        <w:pStyle w:val="Default"/>
        <w:rPr>
          <w:b/>
          <w:bCs/>
          <w:color w:val="auto"/>
          <w:sz w:val="20"/>
          <w:szCs w:val="20"/>
        </w:rPr>
      </w:pPr>
    </w:p>
    <w:p w:rsidR="00BA3C18" w:rsidRDefault="00BA3C18" w:rsidP="00BA3C18">
      <w:pPr>
        <w:pStyle w:val="Default"/>
        <w:rPr>
          <w:b/>
          <w:bCs/>
          <w:color w:val="auto"/>
          <w:sz w:val="20"/>
          <w:szCs w:val="20"/>
        </w:rPr>
      </w:pPr>
    </w:p>
    <w:p w:rsidR="00BA3C18" w:rsidRPr="00BA3C18" w:rsidRDefault="00BA3C18" w:rsidP="00BA3C18">
      <w:pPr>
        <w:pStyle w:val="Default"/>
        <w:rPr>
          <w:color w:val="auto"/>
        </w:rPr>
      </w:pPr>
      <w:r w:rsidRPr="00BA3C18">
        <w:rPr>
          <w:b/>
          <w:bCs/>
          <w:color w:val="auto"/>
        </w:rPr>
        <w:t xml:space="preserve">La formation </w:t>
      </w:r>
    </w:p>
    <w:p w:rsidR="00BA3C18" w:rsidRDefault="00BA3C18" w:rsidP="00BA3C18">
      <w:pPr>
        <w:pStyle w:val="Default"/>
        <w:rPr>
          <w:b/>
          <w:bCs/>
          <w:color w:val="auto"/>
          <w:sz w:val="20"/>
          <w:szCs w:val="20"/>
        </w:rPr>
      </w:pPr>
    </w:p>
    <w:p w:rsidR="00BA3C18" w:rsidRDefault="00BA3C18" w:rsidP="00BA3C1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Des taux élevés d’accès la formation </w:t>
      </w:r>
    </w:p>
    <w:p w:rsidR="00BA3C18" w:rsidRDefault="00BA3C18" w:rsidP="00BA3C1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Les taux d’accès à la formation sont élevés : il est de 27,3% pour les agences et de 32% pour les régies. Ces taux varient selon la taille de l’entreprise, la CSP, le sexe et l’âge. </w:t>
      </w:r>
    </w:p>
    <w:p w:rsidR="00BA3C18" w:rsidRDefault="00BA3C18" w:rsidP="00BA3C1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Dans les entreprises de 50 à 299 salarié(e)s, il est de 35 à 43% mais retombe à 23 et 24% dans les entreprises de moins de 50 salarié(e)s. </w:t>
      </w:r>
    </w:p>
    <w:p w:rsidR="00BA3C18" w:rsidRDefault="00BA3C18" w:rsidP="00BA3C1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Les taux d’accès à la formation augmentent avec l’âge et c’est parmi les 32-35 ans qu’il est le plus élevé : 35,5 % en agences et 37,7% en régies. </w:t>
      </w:r>
    </w:p>
    <w:p w:rsidR="00BA3C18" w:rsidRDefault="00BA3C18" w:rsidP="00BA3C1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Les </w:t>
      </w:r>
      <w:proofErr w:type="gramStart"/>
      <w:r>
        <w:rPr>
          <w:color w:val="auto"/>
          <w:sz w:val="20"/>
          <w:szCs w:val="20"/>
        </w:rPr>
        <w:t>cadres se</w:t>
      </w:r>
      <w:proofErr w:type="gramEnd"/>
      <w:r>
        <w:rPr>
          <w:color w:val="auto"/>
          <w:sz w:val="20"/>
          <w:szCs w:val="20"/>
        </w:rPr>
        <w:t xml:space="preserve"> forment davantage que les autres catégories socioprofessionnelles, avec des taux variant de 33 % en agences à 44% en régies. </w:t>
      </w:r>
    </w:p>
    <w:p w:rsidR="00BA3C18" w:rsidRDefault="00BA3C18" w:rsidP="00BA3C1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De manière générale, les femmes se forment davantage que les hommes, et les écarts peuvent être importants (jusqu’à dix points parmi les cadres). </w:t>
      </w:r>
    </w:p>
    <w:p w:rsidR="00BA3C18" w:rsidRDefault="00BA3C18" w:rsidP="00BA3C18">
      <w:pPr>
        <w:pStyle w:val="Default"/>
        <w:rPr>
          <w:b/>
          <w:bCs/>
          <w:color w:val="auto"/>
          <w:sz w:val="20"/>
          <w:szCs w:val="20"/>
        </w:rPr>
      </w:pPr>
    </w:p>
    <w:p w:rsidR="00BA3C18" w:rsidRDefault="00BA3C18" w:rsidP="00BA3C1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Des formations courtes en majorité </w:t>
      </w:r>
    </w:p>
    <w:p w:rsidR="00BA3C18" w:rsidRDefault="00BA3C18" w:rsidP="00BA3C1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Dans leur majorité, les formations durent de 1 à 3 jours et 32,2% durent moins d’une journée</w:t>
      </w:r>
      <w:r>
        <w:rPr>
          <w:color w:val="auto"/>
          <w:sz w:val="20"/>
          <w:szCs w:val="20"/>
        </w:rPr>
        <w:t xml:space="preserve"> avec</w:t>
      </w:r>
      <w:r>
        <w:rPr>
          <w:color w:val="auto"/>
          <w:sz w:val="20"/>
          <w:szCs w:val="20"/>
        </w:rPr>
        <w:t xml:space="preserve"> une majorité de femmes parmi les actions de formation les plus courtes. </w:t>
      </w:r>
    </w:p>
    <w:p w:rsidR="00BA3C18" w:rsidRDefault="00BA3C18" w:rsidP="00BA3C18">
      <w:pPr>
        <w:pStyle w:val="Default"/>
        <w:rPr>
          <w:b/>
          <w:bCs/>
          <w:color w:val="auto"/>
          <w:sz w:val="20"/>
          <w:szCs w:val="20"/>
        </w:rPr>
      </w:pPr>
    </w:p>
    <w:p w:rsidR="00BA3C18" w:rsidRDefault="00BA3C18" w:rsidP="00BA3C18">
      <w:pPr>
        <w:pStyle w:val="Default"/>
        <w:rPr>
          <w:b/>
          <w:bCs/>
          <w:color w:val="auto"/>
          <w:sz w:val="20"/>
          <w:szCs w:val="20"/>
        </w:rPr>
      </w:pPr>
    </w:p>
    <w:p w:rsidR="00BA3C18" w:rsidRDefault="00BA3C18" w:rsidP="00BA3C1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Des formations qui concernent en priorité les techniques commerciales </w:t>
      </w:r>
    </w:p>
    <w:p w:rsidR="00BA3C18" w:rsidRDefault="00BA3C18" w:rsidP="00BA3C1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Les actions de formation concernent, dans leur grande majo</w:t>
      </w:r>
      <w:r>
        <w:rPr>
          <w:color w:val="auto"/>
          <w:sz w:val="20"/>
          <w:szCs w:val="20"/>
        </w:rPr>
        <w:t xml:space="preserve">rité, les techniques de gestion </w:t>
      </w:r>
      <w:r>
        <w:rPr>
          <w:color w:val="auto"/>
          <w:sz w:val="20"/>
          <w:szCs w:val="20"/>
        </w:rPr>
        <w:t xml:space="preserve">commerciale et les méthodes de vente, de prospection et de négociation. </w:t>
      </w:r>
    </w:p>
    <w:p w:rsidR="008D2256" w:rsidRPr="00BA3C18" w:rsidRDefault="00BA3C18" w:rsidP="00BA3C18">
      <w:pPr>
        <w:rPr>
          <w:rFonts w:ascii="Arial" w:hAnsi="Arial" w:cs="Arial"/>
        </w:rPr>
      </w:pPr>
      <w:r w:rsidRPr="00BA3C18">
        <w:rPr>
          <w:rFonts w:ascii="Arial" w:hAnsi="Arial" w:cs="Arial"/>
          <w:sz w:val="20"/>
          <w:szCs w:val="20"/>
        </w:rPr>
        <w:t xml:space="preserve">Les formations au numérique représentent 14% de l’ensemble des actions de formation. Parmi celles-ci, près de la moitié </w:t>
      </w:r>
      <w:r>
        <w:rPr>
          <w:rFonts w:ascii="Arial" w:hAnsi="Arial" w:cs="Arial"/>
          <w:sz w:val="20"/>
          <w:szCs w:val="20"/>
        </w:rPr>
        <w:t xml:space="preserve">concerne </w:t>
      </w:r>
      <w:r w:rsidRPr="00BA3C18">
        <w:rPr>
          <w:rFonts w:ascii="Arial" w:hAnsi="Arial" w:cs="Arial"/>
          <w:sz w:val="20"/>
          <w:szCs w:val="20"/>
        </w:rPr>
        <w:t>l’utilisation d’outils numériques</w:t>
      </w:r>
      <w:r>
        <w:rPr>
          <w:rFonts w:ascii="Arial" w:hAnsi="Arial" w:cs="Arial"/>
          <w:sz w:val="20"/>
          <w:szCs w:val="20"/>
        </w:rPr>
        <w:t>.</w:t>
      </w:r>
    </w:p>
    <w:sectPr w:rsidR="008D2256" w:rsidRPr="00BA3C18" w:rsidSect="00BA3C1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18"/>
    <w:rsid w:val="00206B03"/>
    <w:rsid w:val="004C6377"/>
    <w:rsid w:val="008C28D2"/>
    <w:rsid w:val="008D2256"/>
    <w:rsid w:val="00AD3958"/>
    <w:rsid w:val="00BA3C18"/>
    <w:rsid w:val="00E1713F"/>
    <w:rsid w:val="00E3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A3C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A3C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BureauSyndical</dc:creator>
  <cp:lastModifiedBy>BureauSyndical</cp:lastModifiedBy>
  <cp:revision>1</cp:revision>
  <dcterms:created xsi:type="dcterms:W3CDTF">2013-02-12T10:42:00Z</dcterms:created>
  <dcterms:modified xsi:type="dcterms:W3CDTF">2013-02-12T10:52:00Z</dcterms:modified>
</cp:coreProperties>
</file>